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读书笔记五</w:t>
      </w:r>
    </w:p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center"/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【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阅读进度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】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：第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三篇 </w:t>
      </w:r>
      <w:r>
        <w:rPr>
          <w:rFonts w:hint="default" w:ascii="方正小标宋_GBK" w:hAnsi="方正小标宋_GBK" w:eastAsia="方正小标宋_GBK" w:cs="方正小标宋_GBK"/>
          <w:sz w:val="24"/>
          <w:szCs w:val="24"/>
        </w:rPr>
        <w:t>从“小采购”到“大采购”，影响总成本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 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P1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210-1350</w:t>
      </w:r>
    </w:p>
    <w:p>
      <w:pPr>
        <w:numPr>
          <w:ilvl w:val="0"/>
          <w:numId w:val="1"/>
        </w:numPr>
        <w:jc w:val="left"/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知识摘要</w:t>
      </w:r>
    </w:p>
    <w:p>
      <w:pPr>
        <w:numPr>
          <w:ilvl w:val="0"/>
          <w:numId w:val="2"/>
        </w:numPr>
        <w:jc w:val="left"/>
        <w:rPr>
          <w:rFonts w:hint="eastAsia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采购发展的五个台阶</w:t>
      </w:r>
      <w:r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  <w:t>：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确保有料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、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谈判砍价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、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管理总成本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、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管理需求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、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全面增值</w:t>
      </w:r>
      <w:r>
        <w:rPr>
          <w:rFonts w:hint="eastAsia"/>
        </w:rPr>
        <w:t>。</w:t>
      </w:r>
    </w:p>
    <w:p>
      <w:pPr>
        <w:numPr>
          <w:numId w:val="0"/>
        </w:numPr>
        <w:jc w:val="left"/>
        <w:rPr>
          <w:rFonts w:hint="eastAsia"/>
        </w:rPr>
      </w:pPr>
      <w:r>
        <w:drawing>
          <wp:inline distT="0" distB="0" distL="114300" distR="114300">
            <wp:extent cx="5269230" cy="2898140"/>
            <wp:effectExtent l="0" t="0" r="444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98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left"/>
        <w:rPr>
          <w:rFonts w:hint="eastAsia"/>
        </w:rPr>
      </w:pPr>
    </w:p>
    <w:p>
      <w:pPr>
        <w:numPr>
          <w:ilvl w:val="0"/>
          <w:numId w:val="2"/>
        </w:numPr>
        <w:jc w:val="left"/>
        <w:rPr>
          <w:rFonts w:hint="eastAsia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“大采购”与“小采购”的区别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：“小采购”围绕订单转，“大采购”聚焦供应商；“小采购”是供应导向，“大采购”是需求导向；“小采购”是行政文秘，“大采购”是战略职能。在从“小采购”转变为“大采购”的过程中，需要解决总部与分部、公司内部各职能之间的职责划分，形成合力，管理供应商。</w:t>
      </w:r>
    </w:p>
    <w:p>
      <w:pPr>
        <w:numPr>
          <w:ilvl w:val="0"/>
          <w:numId w:val="2"/>
        </w:numPr>
        <w:jc w:val="left"/>
        <w:rPr>
          <w:rFonts w:hint="eastAsia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最佳实践传播的三个基本规律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：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第一，从生产制造行业传入非生产制造领域。比如麦当劳卖汉堡，用的是流水线，但流水线的概念最早是由福特汽车发明的。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第二，从大批量制造行业传入小批量制造行业。比如飞机制造业在改进采购与供应链时，有很多人就是从汽车行业挖过去的。</w:t>
      </w:r>
    </w:p>
    <w:p>
      <w:pPr>
        <w:numPr>
          <w:numId w:val="0"/>
        </w:numPr>
        <w:jc w:val="left"/>
        <w:rPr>
          <w:rFonts w:hint="eastAsia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第三，从传统的制造业传入非传统的制造业。比如，医药、化工、石油，还有这几年的新能源。传统行业以离散制造为主，非传统行业就有很多流程型企业</w:t>
      </w:r>
      <w:r>
        <w:rPr>
          <w:rFonts w:hint="eastAsia"/>
        </w:rPr>
        <w:t>。</w:t>
      </w:r>
    </w:p>
    <w:p>
      <w:pPr>
        <w:numPr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4.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“人可生如蚁而美如神”——生活中我们可以卑微如同蚂蚁，但精神上，我们还是可以美如神仙。人总是要从基层干起。都说贫穷限制了我们的想象力，但不要让基层工作限制我们的思路。</w:t>
      </w: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阅读思考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Q1: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超过一定金额，公司规定必须招标。招标使公司坐享充分竞争的成本优势，但供应商恶意竞争，劣质低价中标者产能不够，无法响应大货送货影响生产；战略供应商的保供能力强，质量稳定，但报价高，所以没法中标。不走招投标流程，则又面临合法合规问题。怎么办？</w:t>
      </w:r>
    </w:p>
    <w:p>
      <w:pPr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A1: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这个问题很普遍，可考虑从两个方面来解决。</w:t>
      </w:r>
    </w:p>
    <w:p>
      <w:pPr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其一，设定入围门槛，不达标者不得投标，比如资质、规模、技术水平、质量管理评估，以及历史绩效等（如果有的话）。</w:t>
      </w:r>
    </w:p>
    <w:p>
      <w:pPr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其二，客观量化价格以外的因素，比如交货、质量、服务等。</w:t>
      </w:r>
    </w:p>
    <w:p>
      <w:pPr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Q2: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劣币驱逐良币：优质供应商的保有率低，为什么？</w:t>
      </w:r>
    </w:p>
    <w:p>
      <w:pPr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A2: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劣币驱逐良币，优质供应商被系统淘汰，根本原因是没法客观量化优质供应商价格以外的绩效，比如质量、交货、服务等。没法量化的就没法管理。供应商选择就只能基于能够客观量化的指标，即价格，而优质供应商在价格上是没法跟劣质供应商竞争的，于是被系统淘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正黑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2312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5068"/>
    <w:multiLevelType w:val="singleLevel"/>
    <w:tmpl w:val="638B5068"/>
    <w:lvl w:ilvl="0" w:tentative="0">
      <w:start w:val="1"/>
      <w:numFmt w:val="chineseCounting"/>
      <w:lvlText w:val="%1、"/>
      <w:lvlJc w:val="left"/>
    </w:lvl>
  </w:abstractNum>
  <w:abstractNum w:abstractNumId="1">
    <w:nsid w:val="638B515C"/>
    <w:multiLevelType w:val="singleLevel"/>
    <w:tmpl w:val="638B515C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2022-12-04T21:29:54Z</dcterms:created>
  <dc:creator>潘子怡的iPad</dc:creator>
  <cp:lastModifiedBy>潘子怡的iPad</cp:lastModifiedBy>
  <dcterms:modified xsi:type="dcterms:W3CDTF">2022-12-03T22:02:27Z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E1C50B894BDFC3AC524F8B63169ACBC1</vt:lpwstr>
  </property>
</Properties>
</file>